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B3D2E"/>
          <w:sz w:val="48"/>
        </w:rPr>
        <w:t>Operations Performance Meeting Notes</w:t>
      </w:r>
    </w:p>
    <w:p>
      <w:pPr>
        <w:jc w:val="center"/>
      </w:pPr>
      <w:r>
        <w:rPr>
          <w:color w:val="1F2933"/>
          <w:sz w:val="24"/>
        </w:rPr>
        <w:t>Unstructured notes for Word cleanup, Teams recap simulation, action extraction and follow-up email exercises.</w:t>
      </w:r>
    </w:p>
    <w:p/>
    <w:tbl>
      <w:tblPr>
        <w:tblW w:type="auto" w:w="0"/>
        <w:jc w:val="center"/>
        <w:tblLook w:firstColumn="1" w:firstRow="1" w:lastColumn="0" w:lastRow="0" w:noHBand="0" w:noVBand="1" w:val="04A0"/>
      </w:tblPr>
      <w:tblGrid>
        <w:gridCol w:w="5184"/>
        <w:gridCol w:w="5184"/>
      </w:tblGrid>
      <w:tr>
        <w:tc>
          <w:tcPr>
            <w:tcW w:type="dxa" w:w="5184"/>
            <w:vAlign w:val="center"/>
            <w:shd w:fill="0B3D2E"/>
          </w:tcPr>
          <w:p>
            <w:r/>
            <w:r>
              <w:rPr>
                <w:b/>
                <w:color w:val="FFFFFF"/>
                <w:sz w:val="18"/>
              </w:rPr>
              <w:t>Document code</w:t>
            </w:r>
          </w:p>
        </w:tc>
        <w:tc>
          <w:tcPr>
            <w:tcW w:type="dxa" w:w="5184"/>
            <w:vAlign w:val="center"/>
          </w:tcPr>
          <w:p>
            <w:r/>
            <w:r>
              <w:rPr>
                <w:b w:val="0"/>
                <w:color w:val="000000"/>
                <w:sz w:val="18"/>
              </w:rPr>
              <w:t>WORD-04</w:t>
            </w:r>
          </w:p>
        </w:tc>
      </w:tr>
      <w:tr>
        <w:tc>
          <w:tcPr>
            <w:tcW w:type="dxa" w:w="5184"/>
            <w:vAlign w:val="center"/>
            <w:shd w:fill="0B3D2E"/>
          </w:tcPr>
          <w:p>
            <w:r/>
            <w:r>
              <w:rPr>
                <w:b/>
                <w:color w:val="FFFFFF"/>
                <w:sz w:val="18"/>
              </w:rPr>
              <w:t>Audience</w:t>
            </w:r>
          </w:p>
        </w:tc>
        <w:tc>
          <w:tcPr>
            <w:tcW w:type="dxa" w:w="5184"/>
            <w:vAlign w:val="center"/>
          </w:tcPr>
          <w:p>
            <w:r/>
            <w:r>
              <w:rPr>
                <w:b w:val="0"/>
                <w:color w:val="000000"/>
                <w:sz w:val="18"/>
              </w:rPr>
              <w:t>Copilot for Microsoft 365 training participants</w:t>
            </w:r>
          </w:p>
        </w:tc>
      </w:tr>
      <w:tr>
        <w:tc>
          <w:tcPr>
            <w:tcW w:type="dxa" w:w="5184"/>
            <w:vAlign w:val="center"/>
            <w:shd w:fill="0B3D2E"/>
          </w:tcPr>
          <w:p>
            <w:r/>
            <w:r>
              <w:rPr>
                <w:b/>
                <w:color w:val="FFFFFF"/>
                <w:sz w:val="18"/>
              </w:rPr>
              <w:t>Scenario</w:t>
            </w:r>
          </w:p>
        </w:tc>
        <w:tc>
          <w:tcPr>
            <w:tcW w:type="dxa" w:w="5184"/>
            <w:vAlign w:val="center"/>
          </w:tcPr>
          <w:p>
            <w:r/>
            <w:r>
              <w:rPr>
                <w:b w:val="0"/>
                <w:color w:val="000000"/>
                <w:sz w:val="18"/>
              </w:rPr>
              <w:t>Energy operations, Malaysia business context</w:t>
            </w:r>
          </w:p>
        </w:tc>
      </w:tr>
      <w:tr>
        <w:tc>
          <w:tcPr>
            <w:tcW w:type="dxa" w:w="5184"/>
            <w:vAlign w:val="center"/>
            <w:shd w:fill="0B3D2E"/>
          </w:tcPr>
          <w:p>
            <w:r/>
            <w:r>
              <w:rPr>
                <w:b/>
                <w:color w:val="FFFFFF"/>
                <w:sz w:val="18"/>
              </w:rPr>
              <w:t>Data status</w:t>
            </w:r>
          </w:p>
        </w:tc>
        <w:tc>
          <w:tcPr>
            <w:tcW w:type="dxa" w:w="5184"/>
            <w:vAlign w:val="center"/>
          </w:tcPr>
          <w:p>
            <w:r/>
            <w:r>
              <w:rPr>
                <w:b w:val="0"/>
                <w:color w:val="000000"/>
                <w:sz w:val="18"/>
              </w:rPr>
              <w:t>Synthetic mock content for class exercises</w:t>
            </w:r>
          </w:p>
        </w:tc>
      </w:tr>
    </w:tbl>
    <w:p>
      <w:r>
        <w:t>Synthetic training data only. No real BP confidential information, logos, contracts, financials, employee records, or production data are included.</w:t>
      </w:r>
    </w:p>
    <w:p>
      <w:pPr>
        <w:pStyle w:val="Heading1"/>
      </w:pPr>
      <w:r>
        <w:t>Raw Notes</w:t>
      </w:r>
    </w:p>
    <w:p>
      <w:r>
        <w:t>Morning discussion covered dashboard readiness, KPI definition disagreement, supplier spend anomaly and leadership update timing. Finance wants cost variance shown by work package. Operations requested weekly trend view. HSSE asked for near-miss data to be separated from recordable incidents.</w:t>
      </w:r>
    </w:p>
    <w:p>
      <w:r>
        <w:t>There was agreement to freeze KPI definitions for the pilot. Procurement will check the vendor spend outlier. Data team will publish a revised sample workbook. Leadership briefing should be short, visual and focused on decision points.</w:t>
      </w:r>
    </w:p>
    <w:p>
      <w:pPr>
        <w:pStyle w:val="Heading1"/>
      </w:pPr>
      <w:r>
        <w:t>Action Capture</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0B3D2E"/>
          </w:tcPr>
          <w:p>
            <w:r/>
            <w:r>
              <w:rPr>
                <w:b/>
                <w:color w:val="FFFFFF"/>
                <w:sz w:val="18"/>
              </w:rPr>
              <w:t>Action</w:t>
            </w:r>
          </w:p>
        </w:tc>
        <w:tc>
          <w:tcPr>
            <w:tcW w:type="dxa" w:w="2592"/>
            <w:vAlign w:val="center"/>
            <w:shd w:fill="0B3D2E"/>
          </w:tcPr>
          <w:p>
            <w:r/>
            <w:r>
              <w:rPr>
                <w:b/>
                <w:color w:val="FFFFFF"/>
                <w:sz w:val="18"/>
              </w:rPr>
              <w:t>Owner</w:t>
            </w:r>
          </w:p>
        </w:tc>
        <w:tc>
          <w:tcPr>
            <w:tcW w:type="dxa" w:w="2592"/>
            <w:vAlign w:val="center"/>
            <w:shd w:fill="0B3D2E"/>
          </w:tcPr>
          <w:p>
            <w:r/>
            <w:r>
              <w:rPr>
                <w:b/>
                <w:color w:val="FFFFFF"/>
                <w:sz w:val="18"/>
              </w:rPr>
              <w:t>Due Date</w:t>
            </w:r>
          </w:p>
        </w:tc>
        <w:tc>
          <w:tcPr>
            <w:tcW w:type="dxa" w:w="2592"/>
            <w:vAlign w:val="center"/>
            <w:shd w:fill="0B3D2E"/>
          </w:tcPr>
          <w:p>
            <w:r/>
            <w:r>
              <w:rPr>
                <w:b/>
                <w:color w:val="FFFFFF"/>
                <w:sz w:val="18"/>
              </w:rPr>
              <w:t>Priority</w:t>
            </w:r>
          </w:p>
        </w:tc>
      </w:tr>
      <w:tr>
        <w:tc>
          <w:tcPr>
            <w:tcW w:type="dxa" w:w="2592"/>
            <w:vAlign w:val="center"/>
            <w:shd w:fill="EAF7F1"/>
          </w:tcPr>
          <w:p>
            <w:r/>
            <w:r>
              <w:rPr>
                <w:b w:val="0"/>
                <w:color w:val="000000"/>
                <w:sz w:val="18"/>
              </w:rPr>
              <w:t>Freeze pilot KPI definitions</w:t>
            </w:r>
          </w:p>
        </w:tc>
        <w:tc>
          <w:tcPr>
            <w:tcW w:type="dxa" w:w="2592"/>
            <w:vAlign w:val="center"/>
          </w:tcPr>
          <w:p>
            <w:r/>
            <w:r>
              <w:rPr>
                <w:b w:val="0"/>
                <w:color w:val="000000"/>
                <w:sz w:val="18"/>
              </w:rPr>
              <w:t>Performance Lead</w:t>
            </w:r>
          </w:p>
        </w:tc>
        <w:tc>
          <w:tcPr>
            <w:tcW w:type="dxa" w:w="2592"/>
            <w:vAlign w:val="center"/>
          </w:tcPr>
          <w:p>
            <w:r/>
            <w:r>
              <w:rPr>
                <w:b w:val="0"/>
                <w:color w:val="000000"/>
                <w:sz w:val="18"/>
              </w:rPr>
              <w:t>26 Jul 2026</w:t>
            </w:r>
          </w:p>
        </w:tc>
        <w:tc>
          <w:tcPr>
            <w:tcW w:type="dxa" w:w="2592"/>
            <w:vAlign w:val="center"/>
          </w:tcPr>
          <w:p>
            <w:r/>
            <w:r>
              <w:rPr>
                <w:b w:val="0"/>
                <w:color w:val="000000"/>
                <w:sz w:val="18"/>
              </w:rPr>
              <w:t>High</w:t>
            </w:r>
          </w:p>
        </w:tc>
      </w:tr>
      <w:tr>
        <w:tc>
          <w:tcPr>
            <w:tcW w:type="dxa" w:w="2592"/>
            <w:vAlign w:val="center"/>
            <w:shd w:fill="EAF7F1"/>
          </w:tcPr>
          <w:p>
            <w:r/>
            <w:r>
              <w:rPr>
                <w:b w:val="0"/>
                <w:color w:val="000000"/>
                <w:sz w:val="18"/>
              </w:rPr>
              <w:t>Investigate supplier spend outlier</w:t>
            </w:r>
          </w:p>
        </w:tc>
        <w:tc>
          <w:tcPr>
            <w:tcW w:type="dxa" w:w="2592"/>
            <w:vAlign w:val="center"/>
          </w:tcPr>
          <w:p>
            <w:r/>
            <w:r>
              <w:rPr>
                <w:b w:val="0"/>
                <w:color w:val="000000"/>
                <w:sz w:val="18"/>
              </w:rPr>
              <w:t>Procurement Analyst</w:t>
            </w:r>
          </w:p>
        </w:tc>
        <w:tc>
          <w:tcPr>
            <w:tcW w:type="dxa" w:w="2592"/>
            <w:vAlign w:val="center"/>
          </w:tcPr>
          <w:p>
            <w:r/>
            <w:r>
              <w:rPr>
                <w:b w:val="0"/>
                <w:color w:val="000000"/>
                <w:sz w:val="18"/>
              </w:rPr>
              <w:t>29 Jul 2026</w:t>
            </w:r>
          </w:p>
        </w:tc>
        <w:tc>
          <w:tcPr>
            <w:tcW w:type="dxa" w:w="2592"/>
            <w:vAlign w:val="center"/>
          </w:tcPr>
          <w:p>
            <w:r/>
            <w:r>
              <w:rPr>
                <w:b w:val="0"/>
                <w:color w:val="000000"/>
                <w:sz w:val="18"/>
              </w:rPr>
              <w:t>Medium</w:t>
            </w:r>
          </w:p>
        </w:tc>
      </w:tr>
      <w:tr>
        <w:tc>
          <w:tcPr>
            <w:tcW w:type="dxa" w:w="2592"/>
            <w:vAlign w:val="center"/>
            <w:shd w:fill="EAF7F1"/>
          </w:tcPr>
          <w:p>
            <w:r/>
            <w:r>
              <w:rPr>
                <w:b w:val="0"/>
                <w:color w:val="000000"/>
                <w:sz w:val="18"/>
              </w:rPr>
              <w:t>Refresh sample dashboard data</w:t>
            </w:r>
          </w:p>
        </w:tc>
        <w:tc>
          <w:tcPr>
            <w:tcW w:type="dxa" w:w="2592"/>
            <w:vAlign w:val="center"/>
          </w:tcPr>
          <w:p>
            <w:r/>
            <w:r>
              <w:rPr>
                <w:b w:val="0"/>
                <w:color w:val="000000"/>
                <w:sz w:val="18"/>
              </w:rPr>
              <w:t>Data Analyst</w:t>
            </w:r>
          </w:p>
        </w:tc>
        <w:tc>
          <w:tcPr>
            <w:tcW w:type="dxa" w:w="2592"/>
            <w:vAlign w:val="center"/>
          </w:tcPr>
          <w:p>
            <w:r/>
            <w:r>
              <w:rPr>
                <w:b w:val="0"/>
                <w:color w:val="000000"/>
                <w:sz w:val="18"/>
              </w:rPr>
              <w:t>30 Jul 2026</w:t>
            </w:r>
          </w:p>
        </w:tc>
        <w:tc>
          <w:tcPr>
            <w:tcW w:type="dxa" w:w="2592"/>
            <w:vAlign w:val="center"/>
          </w:tcPr>
          <w:p>
            <w:r/>
            <w:r>
              <w:rPr>
                <w:b w:val="0"/>
                <w:color w:val="000000"/>
                <w:sz w:val="18"/>
              </w:rPr>
              <w:t>High</w:t>
            </w:r>
          </w:p>
        </w:tc>
      </w:tr>
      <w:tr>
        <w:tc>
          <w:tcPr>
            <w:tcW w:type="dxa" w:w="2592"/>
            <w:vAlign w:val="center"/>
            <w:shd w:fill="EAF7F1"/>
          </w:tcPr>
          <w:p>
            <w:r/>
            <w:r>
              <w:rPr>
                <w:b w:val="0"/>
                <w:color w:val="000000"/>
                <w:sz w:val="18"/>
              </w:rPr>
              <w:t>Prepare leadership slide outline</w:t>
            </w:r>
          </w:p>
        </w:tc>
        <w:tc>
          <w:tcPr>
            <w:tcW w:type="dxa" w:w="2592"/>
            <w:vAlign w:val="center"/>
          </w:tcPr>
          <w:p>
            <w:r/>
            <w:r>
              <w:rPr>
                <w:b w:val="0"/>
                <w:color w:val="000000"/>
                <w:sz w:val="18"/>
              </w:rPr>
              <w:t>Project Manager</w:t>
            </w:r>
          </w:p>
        </w:tc>
        <w:tc>
          <w:tcPr>
            <w:tcW w:type="dxa" w:w="2592"/>
            <w:vAlign w:val="center"/>
          </w:tcPr>
          <w:p>
            <w:r/>
            <w:r>
              <w:rPr>
                <w:b w:val="0"/>
                <w:color w:val="000000"/>
                <w:sz w:val="18"/>
              </w:rPr>
              <w:t>02 Aug 2026</w:t>
            </w:r>
          </w:p>
        </w:tc>
        <w:tc>
          <w:tcPr>
            <w:tcW w:type="dxa" w:w="2592"/>
            <w:vAlign w:val="center"/>
          </w:tcPr>
          <w:p>
            <w:r/>
            <w:r>
              <w:rPr>
                <w:b w:val="0"/>
                <w:color w:val="000000"/>
                <w:sz w:val="18"/>
              </w:rPr>
              <w:t>Medium</w:t>
            </w:r>
          </w:p>
        </w:tc>
      </w:tr>
    </w:tbl>
    <w:sectPr w:rsidR="00FC693F" w:rsidRPr="0006063C" w:rsidSect="00034616">
      <w:headerReference w:type="default" r:id="rId9"/>
      <w:footerReference w:type="default" r:id="rId10"/>
      <w:pgSz w:w="12240" w:h="15840"/>
      <w:pgMar w:top="936" w:right="936" w:bottom="936"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color w:val="5A5A5A"/>
        <w:sz w:val="14"/>
      </w:rPr>
      <w:t>Synthetic training data only. No real BP confidential information, logos, contracts, financials, employee records, or production data are included.</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color w:val="1F2933"/>
        <w:sz w:val="16"/>
      </w:rPr>
      <w:t>BP Malaysia Mock Training | WORD-04 | Mock dataset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0B3D2E"/>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b/>
      <w:bCs/>
      <w:color w:val="007A53"/>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b/>
      <w:bCs/>
      <w:color w:val="1F2933"/>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b/>
      <w:color w:val="0B3D2E"/>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