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3D2E"/>
          <w:sz w:val="48"/>
        </w:rPr>
        <w:t>Data Classification Quick Guide</w:t>
      </w:r>
    </w:p>
    <w:p>
      <w:pPr>
        <w:jc w:val="center"/>
      </w:pPr>
      <w:r>
        <w:rPr>
          <w:color w:val="1F2933"/>
          <w:sz w:val="24"/>
        </w:rPr>
        <w:t>Knowledge source for Agent Builder and Copilot Studio compliance Q&amp;A exercises.</w:t>
      </w:r>
    </w:p>
    <w:p/>
    <w:tbl>
      <w:tblPr>
        <w:tblW w:type="auto" w:w="0"/>
        <w:jc w:val="center"/>
        <w:tblLook w:firstColumn="1" w:firstRow="1" w:lastColumn="0" w:lastRow="0" w:noHBand="0" w:noVBand="1" w:val="04A0"/>
      </w:tblPr>
      <w:tblGrid>
        <w:gridCol w:w="5184"/>
        <w:gridCol w:w="5184"/>
      </w:tblGrid>
      <w:tr>
        <w:tc>
          <w:tcPr>
            <w:tcW w:type="dxa" w:w="5184"/>
            <w:vAlign w:val="center"/>
            <w:shd w:fill="0B3D2E"/>
          </w:tcPr>
          <w:p>
            <w:r/>
            <w:r>
              <w:rPr>
                <w:b/>
                <w:color w:val="FFFFFF"/>
                <w:sz w:val="18"/>
              </w:rPr>
              <w:t>Document code</w:t>
            </w:r>
          </w:p>
        </w:tc>
        <w:tc>
          <w:tcPr>
            <w:tcW w:type="dxa" w:w="5184"/>
            <w:vAlign w:val="center"/>
          </w:tcPr>
          <w:p>
            <w:r/>
            <w:r>
              <w:rPr>
                <w:b w:val="0"/>
                <w:color w:val="000000"/>
                <w:sz w:val="18"/>
              </w:rPr>
              <w:t>AGENT-01</w:t>
            </w:r>
          </w:p>
        </w:tc>
      </w:tr>
      <w:tr>
        <w:tc>
          <w:tcPr>
            <w:tcW w:type="dxa" w:w="5184"/>
            <w:vAlign w:val="center"/>
            <w:shd w:fill="0B3D2E"/>
          </w:tcPr>
          <w:p>
            <w:r/>
            <w:r>
              <w:rPr>
                <w:b/>
                <w:color w:val="FFFFFF"/>
                <w:sz w:val="18"/>
              </w:rPr>
              <w:t>Audience</w:t>
            </w:r>
          </w:p>
        </w:tc>
        <w:tc>
          <w:tcPr>
            <w:tcW w:type="dxa" w:w="5184"/>
            <w:vAlign w:val="center"/>
          </w:tcPr>
          <w:p>
            <w:r/>
            <w:r>
              <w:rPr>
                <w:b w:val="0"/>
                <w:color w:val="000000"/>
                <w:sz w:val="18"/>
              </w:rPr>
              <w:t>Copilot for Microsoft 365 training participants</w:t>
            </w:r>
          </w:p>
        </w:tc>
      </w:tr>
      <w:tr>
        <w:tc>
          <w:tcPr>
            <w:tcW w:type="dxa" w:w="5184"/>
            <w:vAlign w:val="center"/>
            <w:shd w:fill="0B3D2E"/>
          </w:tcPr>
          <w:p>
            <w:r/>
            <w:r>
              <w:rPr>
                <w:b/>
                <w:color w:val="FFFFFF"/>
                <w:sz w:val="18"/>
              </w:rPr>
              <w:t>Scenario</w:t>
            </w:r>
          </w:p>
        </w:tc>
        <w:tc>
          <w:tcPr>
            <w:tcW w:type="dxa" w:w="5184"/>
            <w:vAlign w:val="center"/>
          </w:tcPr>
          <w:p>
            <w:r/>
            <w:r>
              <w:rPr>
                <w:b w:val="0"/>
                <w:color w:val="000000"/>
                <w:sz w:val="18"/>
              </w:rPr>
              <w:t>Energy operations, Malaysia business context</w:t>
            </w:r>
          </w:p>
        </w:tc>
      </w:tr>
      <w:tr>
        <w:tc>
          <w:tcPr>
            <w:tcW w:type="dxa" w:w="5184"/>
            <w:vAlign w:val="center"/>
            <w:shd w:fill="0B3D2E"/>
          </w:tcPr>
          <w:p>
            <w:r/>
            <w:r>
              <w:rPr>
                <w:b/>
                <w:color w:val="FFFFFF"/>
                <w:sz w:val="18"/>
              </w:rPr>
              <w:t>Data status</w:t>
            </w:r>
          </w:p>
        </w:tc>
        <w:tc>
          <w:tcPr>
            <w:tcW w:type="dxa" w:w="5184"/>
            <w:vAlign w:val="center"/>
          </w:tcPr>
          <w:p>
            <w:r/>
            <w:r>
              <w:rPr>
                <w:b w:val="0"/>
                <w:color w:val="000000"/>
                <w:sz w:val="18"/>
              </w:rPr>
              <w:t>Synthetic mock content for class exercises</w:t>
            </w:r>
          </w:p>
        </w:tc>
      </w:tr>
    </w:tbl>
    <w:p>
      <w:r>
        <w:t>Synthetic training data only. No real BP confidential information, logos, contracts, financials, employee records, or production data are included.</w:t>
      </w:r>
    </w:p>
    <w:p>
      <w:pPr>
        <w:pStyle w:val="Heading1"/>
      </w:pPr>
      <w:r>
        <w:t>Purpose</w:t>
      </w:r>
    </w:p>
    <w:p>
      <w:r>
        <w:t>This mock guide helps participants practise asking Copilot and custom agents about safe information handling. It is not an official BP policy. It uses fictional examples and simplified wording for training.</w:t>
      </w:r>
    </w:p>
    <w:p>
      <w:pPr>
        <w:pStyle w:val="Heading1"/>
      </w:pPr>
      <w:r>
        <w:t>Classification Levels</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0B3D2E"/>
          </w:tcPr>
          <w:p>
            <w:r/>
            <w:r>
              <w:rPr>
                <w:b/>
                <w:color w:val="FFFFFF"/>
                <w:sz w:val="18"/>
              </w:rPr>
              <w:t>Level</w:t>
            </w:r>
          </w:p>
        </w:tc>
        <w:tc>
          <w:tcPr>
            <w:tcW w:type="dxa" w:w="2592"/>
            <w:vAlign w:val="center"/>
            <w:shd w:fill="0B3D2E"/>
          </w:tcPr>
          <w:p>
            <w:r/>
            <w:r>
              <w:rPr>
                <w:b/>
                <w:color w:val="FFFFFF"/>
                <w:sz w:val="18"/>
              </w:rPr>
              <w:t>Meaning</w:t>
            </w:r>
          </w:p>
        </w:tc>
        <w:tc>
          <w:tcPr>
            <w:tcW w:type="dxa" w:w="2592"/>
            <w:vAlign w:val="center"/>
            <w:shd w:fill="0B3D2E"/>
          </w:tcPr>
          <w:p>
            <w:r/>
            <w:r>
              <w:rPr>
                <w:b/>
                <w:color w:val="FFFFFF"/>
                <w:sz w:val="18"/>
              </w:rPr>
              <w:t>Example</w:t>
            </w:r>
          </w:p>
        </w:tc>
        <w:tc>
          <w:tcPr>
            <w:tcW w:type="dxa" w:w="2592"/>
            <w:vAlign w:val="center"/>
            <w:shd w:fill="0B3D2E"/>
          </w:tcPr>
          <w:p>
            <w:r/>
            <w:r>
              <w:rPr>
                <w:b/>
                <w:color w:val="FFFFFF"/>
                <w:sz w:val="18"/>
              </w:rPr>
              <w:t>Copilot Handling Guidance</w:t>
            </w:r>
          </w:p>
        </w:tc>
      </w:tr>
      <w:tr>
        <w:tc>
          <w:tcPr>
            <w:tcW w:type="dxa" w:w="2592"/>
            <w:vAlign w:val="center"/>
            <w:shd w:fill="EAF7F1"/>
          </w:tcPr>
          <w:p>
            <w:r/>
            <w:r>
              <w:rPr>
                <w:b w:val="0"/>
                <w:color w:val="000000"/>
                <w:sz w:val="18"/>
              </w:rPr>
              <w:t>Public</w:t>
            </w:r>
          </w:p>
        </w:tc>
        <w:tc>
          <w:tcPr>
            <w:tcW w:type="dxa" w:w="2592"/>
            <w:vAlign w:val="center"/>
          </w:tcPr>
          <w:p>
            <w:r/>
            <w:r>
              <w:rPr>
                <w:b w:val="0"/>
                <w:color w:val="000000"/>
                <w:sz w:val="18"/>
              </w:rPr>
              <w:t>Approved for external sharing</w:t>
            </w:r>
          </w:p>
        </w:tc>
        <w:tc>
          <w:tcPr>
            <w:tcW w:type="dxa" w:w="2592"/>
            <w:vAlign w:val="center"/>
          </w:tcPr>
          <w:p>
            <w:r/>
            <w:r>
              <w:rPr>
                <w:b w:val="0"/>
                <w:color w:val="000000"/>
                <w:sz w:val="18"/>
              </w:rPr>
              <w:t>Published press release</w:t>
            </w:r>
          </w:p>
        </w:tc>
        <w:tc>
          <w:tcPr>
            <w:tcW w:type="dxa" w:w="2592"/>
            <w:vAlign w:val="center"/>
          </w:tcPr>
          <w:p>
            <w:r/>
            <w:r>
              <w:rPr>
                <w:b w:val="0"/>
                <w:color w:val="000000"/>
                <w:sz w:val="18"/>
              </w:rPr>
              <w:t>Can be summarized, still verify sources</w:t>
            </w:r>
          </w:p>
        </w:tc>
      </w:tr>
      <w:tr>
        <w:tc>
          <w:tcPr>
            <w:tcW w:type="dxa" w:w="2592"/>
            <w:vAlign w:val="center"/>
            <w:shd w:fill="EAF7F1"/>
          </w:tcPr>
          <w:p>
            <w:r/>
            <w:r>
              <w:rPr>
                <w:b w:val="0"/>
                <w:color w:val="000000"/>
                <w:sz w:val="18"/>
              </w:rPr>
              <w:t>Internal</w:t>
            </w:r>
          </w:p>
        </w:tc>
        <w:tc>
          <w:tcPr>
            <w:tcW w:type="dxa" w:w="2592"/>
            <w:vAlign w:val="center"/>
          </w:tcPr>
          <w:p>
            <w:r/>
            <w:r>
              <w:rPr>
                <w:b w:val="0"/>
                <w:color w:val="000000"/>
                <w:sz w:val="18"/>
              </w:rPr>
              <w:t>For employees and approved partners</w:t>
            </w:r>
          </w:p>
        </w:tc>
        <w:tc>
          <w:tcPr>
            <w:tcW w:type="dxa" w:w="2592"/>
            <w:vAlign w:val="center"/>
          </w:tcPr>
          <w:p>
            <w:r/>
            <w:r>
              <w:rPr>
                <w:b w:val="0"/>
                <w:color w:val="000000"/>
                <w:sz w:val="18"/>
              </w:rPr>
              <w:t>Training schedule</w:t>
            </w:r>
          </w:p>
        </w:tc>
        <w:tc>
          <w:tcPr>
            <w:tcW w:type="dxa" w:w="2592"/>
            <w:vAlign w:val="center"/>
          </w:tcPr>
          <w:p>
            <w:r/>
            <w:r>
              <w:rPr>
                <w:b w:val="0"/>
                <w:color w:val="000000"/>
                <w:sz w:val="18"/>
              </w:rPr>
              <w:t>Use work grounding and retain normal sharing controls</w:t>
            </w:r>
          </w:p>
        </w:tc>
      </w:tr>
      <w:tr>
        <w:tc>
          <w:tcPr>
            <w:tcW w:type="dxa" w:w="2592"/>
            <w:vAlign w:val="center"/>
            <w:shd w:fill="EAF7F1"/>
          </w:tcPr>
          <w:p>
            <w:r/>
            <w:r>
              <w:rPr>
                <w:b w:val="0"/>
                <w:color w:val="000000"/>
                <w:sz w:val="18"/>
              </w:rPr>
              <w:t>Confidential</w:t>
            </w:r>
          </w:p>
        </w:tc>
        <w:tc>
          <w:tcPr>
            <w:tcW w:type="dxa" w:w="2592"/>
            <w:vAlign w:val="center"/>
          </w:tcPr>
          <w:p>
            <w:r/>
            <w:r>
              <w:rPr>
                <w:b w:val="0"/>
                <w:color w:val="000000"/>
                <w:sz w:val="18"/>
              </w:rPr>
              <w:t>Sensitive business information</w:t>
            </w:r>
          </w:p>
        </w:tc>
        <w:tc>
          <w:tcPr>
            <w:tcW w:type="dxa" w:w="2592"/>
            <w:vAlign w:val="center"/>
          </w:tcPr>
          <w:p>
            <w:r/>
            <w:r>
              <w:rPr>
                <w:b w:val="0"/>
                <w:color w:val="000000"/>
                <w:sz w:val="18"/>
              </w:rPr>
              <w:t>Supplier pricing model</w:t>
            </w:r>
          </w:p>
        </w:tc>
        <w:tc>
          <w:tcPr>
            <w:tcW w:type="dxa" w:w="2592"/>
            <w:vAlign w:val="center"/>
          </w:tcPr>
          <w:p>
            <w:r/>
            <w:r>
              <w:rPr>
                <w:b w:val="0"/>
                <w:color w:val="000000"/>
                <w:sz w:val="18"/>
              </w:rPr>
              <w:t>Use only with authorized users and labelled files</w:t>
            </w:r>
          </w:p>
        </w:tc>
      </w:tr>
      <w:tr>
        <w:tc>
          <w:tcPr>
            <w:tcW w:type="dxa" w:w="2592"/>
            <w:vAlign w:val="center"/>
            <w:shd w:fill="EAF7F1"/>
          </w:tcPr>
          <w:p>
            <w:r/>
            <w:r>
              <w:rPr>
                <w:b w:val="0"/>
                <w:color w:val="000000"/>
                <w:sz w:val="18"/>
              </w:rPr>
              <w:t>Restricted</w:t>
            </w:r>
          </w:p>
        </w:tc>
        <w:tc>
          <w:tcPr>
            <w:tcW w:type="dxa" w:w="2592"/>
            <w:vAlign w:val="center"/>
          </w:tcPr>
          <w:p>
            <w:r/>
            <w:r>
              <w:rPr>
                <w:b w:val="0"/>
                <w:color w:val="000000"/>
                <w:sz w:val="18"/>
              </w:rPr>
              <w:t>Highly sensitive information</w:t>
            </w:r>
          </w:p>
        </w:tc>
        <w:tc>
          <w:tcPr>
            <w:tcW w:type="dxa" w:w="2592"/>
            <w:vAlign w:val="center"/>
          </w:tcPr>
          <w:p>
            <w:r/>
            <w:r>
              <w:rPr>
                <w:b w:val="0"/>
                <w:color w:val="000000"/>
                <w:sz w:val="18"/>
              </w:rPr>
              <w:t>Personal data, production security controls</w:t>
            </w:r>
          </w:p>
        </w:tc>
        <w:tc>
          <w:tcPr>
            <w:tcW w:type="dxa" w:w="2592"/>
            <w:vAlign w:val="center"/>
          </w:tcPr>
          <w:p>
            <w:r/>
            <w:r>
              <w:rPr>
                <w:b w:val="0"/>
                <w:color w:val="000000"/>
                <w:sz w:val="18"/>
              </w:rPr>
              <w:t>Do not upload to unsupported tools; follow official process</w:t>
            </w:r>
          </w:p>
        </w:tc>
      </w:tr>
    </w:tbl>
    <w:p>
      <w:pPr>
        <w:pStyle w:val="Heading1"/>
      </w:pPr>
      <w:r>
        <w:t>Safe Prompting Reminders</w:t>
      </w:r>
    </w:p>
    <w:p>
      <w:pPr>
        <w:pStyle w:val="ListBullet"/>
      </w:pPr>
      <w:r>
        <w:t>Use only files you are permitted to access.</w:t>
      </w:r>
    </w:p>
    <w:p>
      <w:pPr>
        <w:pStyle w:val="ListBullet"/>
      </w:pPr>
      <w:r>
        <w:t>Verify Copilot outputs and cited sources before sending.</w:t>
      </w:r>
    </w:p>
    <w:p>
      <w:pPr>
        <w:pStyle w:val="ListBullet"/>
      </w:pPr>
      <w:r>
        <w:t>Do not paste personal data or restricted operational details into uncontrolled prompts.</w:t>
      </w:r>
    </w:p>
    <w:p>
      <w:pPr>
        <w:pStyle w:val="ListBullet"/>
      </w:pPr>
      <w:r>
        <w:t>Apply the highest classification level from the source material to generated content.</w:t>
      </w:r>
    </w:p>
    <w:sectPr w:rsidR="00FC693F" w:rsidRPr="0006063C" w:rsidSect="00034616">
      <w:headerReference w:type="default" r:id="rId9"/>
      <w:footerReference w:type="default" r:id="rId10"/>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color w:val="5A5A5A"/>
        <w:sz w:val="14"/>
      </w:rPr>
      <w:t>Synthetic training data only. No real BP confidential information, logos, contracts, financials, employee records, or production data are included.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color w:val="1F2933"/>
        <w:sz w:val="16"/>
      </w:rPr>
      <w:t>BP Malaysia Mock Training | AGENT-01 | Mock dataset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B3D2E"/>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007A5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29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0B3D2E"/>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