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3D2E"/>
          <w:sz w:val="48"/>
        </w:rPr>
        <w:t>Agent Knowledge FAQ: Energy Operations Assistant</w:t>
      </w:r>
    </w:p>
    <w:p>
      <w:pPr>
        <w:jc w:val="center"/>
      </w:pPr>
      <w:r>
        <w:rPr>
          <w:color w:val="1F2933"/>
          <w:sz w:val="24"/>
        </w:rPr>
        <w:t>FAQ source for building a simple department knowledge agent in Agent Builder.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Document code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AGENT-02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Copilot for Microsoft 365 training participants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Energy operations, Malaysia business context</w:t>
            </w:r>
          </w:p>
        </w:tc>
      </w:tr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Data status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Synthetic mock content for class exercises</w:t>
            </w:r>
          </w:p>
        </w:tc>
      </w:tr>
    </w:tbl>
    <w:p>
      <w:r>
        <w:t>Synthetic training data only. No real BP confidential information, logos, contracts, financials, employee records, or production data are included.</w:t>
      </w:r>
    </w:p>
    <w:p>
      <w:pPr>
        <w:pStyle w:val="Heading1"/>
      </w:pPr>
      <w:r>
        <w:t>Agent Purpose</w:t>
      </w:r>
    </w:p>
    <w:p>
      <w:r>
        <w:t>The fictional Energy Operations Assistant answers common questions about the mock reporting programme, KPI calendar, escalation route and training artefacts.</w:t>
      </w:r>
    </w:p>
    <w:p>
      <w:pPr>
        <w:pStyle w:val="Heading1"/>
      </w:pPr>
      <w:r>
        <w:t>Frequently Asked Questions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Question</w:t>
            </w:r>
          </w:p>
        </w:tc>
        <w:tc>
          <w:tcPr>
            <w:tcW w:type="dxa" w:w="5184"/>
            <w:vAlign w:val="center"/>
            <w:shd w:fill="0B3D2E"/>
          </w:tcPr>
          <w:p>
            <w:r/>
            <w:r>
              <w:rPr>
                <w:b/>
                <w:color w:val="FFFFFF"/>
                <w:sz w:val="18"/>
              </w:rPr>
              <w:t>Approved Answer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Where is the weekly KPI file stored?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Use the shared training folder named Bp copilot. In class, use only mock files provided by the instructor.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Who approves KPI definition changes?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The mock Performance Lead approves KPI definition changes after Finance, HSSE and Operations review.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What should I do if a figure looks wrong?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Check the source worksheet, confirm the reporting period and raise an issue in the action tracker.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Can I use supplier names in Copilot prompts?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Use only fictional supplier names in class. For real work, follow data classification and privacy guidance.</w:t>
            </w:r>
          </w:p>
        </w:tc>
      </w:tr>
      <w:tr>
        <w:tc>
          <w:tcPr>
            <w:tcW w:type="dxa" w:w="5184"/>
            <w:vAlign w:val="center"/>
            <w:shd w:fill="EAF7F1"/>
          </w:tcPr>
          <w:p>
            <w:r/>
            <w:r>
              <w:rPr>
                <w:b w:val="0"/>
                <w:color w:val="000000"/>
                <w:sz w:val="18"/>
              </w:rPr>
              <w:t>What output should leadership receive?</w:t>
            </w:r>
          </w:p>
        </w:tc>
        <w:tc>
          <w:tcPr>
            <w:tcW w:type="dxa" w:w="5184"/>
            <w:vAlign w:val="center"/>
          </w:tcPr>
          <w:p>
            <w:r/>
            <w:r>
              <w:rPr>
                <w:b w:val="0"/>
                <w:color w:val="000000"/>
                <w:sz w:val="18"/>
              </w:rPr>
              <w:t>A concise briefing with trend, variance, risk, decision needed and owner.</w:t>
            </w:r>
          </w:p>
        </w:tc>
      </w:tr>
    </w:tbl>
    <w:p>
      <w:pPr>
        <w:pStyle w:val="Heading1"/>
      </w:pPr>
      <w:r>
        <w:t>Agent Boundaries</w:t>
      </w:r>
    </w:p>
    <w:p>
      <w:pPr>
        <w:pStyle w:val="ListBullet"/>
      </w:pPr>
      <w:r>
        <w:t>Do not answer legal, medical, emergency or production-control questions.</w:t>
      </w:r>
    </w:p>
    <w:p>
      <w:pPr>
        <w:pStyle w:val="ListBullet"/>
      </w:pPr>
      <w:r>
        <w:t>Do not reveal restricted or personal data.</w:t>
      </w:r>
    </w:p>
    <w:p>
      <w:pPr>
        <w:pStyle w:val="ListBullet"/>
      </w:pPr>
      <w:r>
        <w:t>When unsure, advise the user to verify with the responsible business owner.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5A5A5A"/>
        <w:sz w:val="14"/>
      </w:rPr>
      <w:t>Synthetic training data only. No real BP confidential information, logos, contracts, financials, employee records, or production data are included.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1F2933"/>
        <w:sz w:val="16"/>
      </w:rPr>
      <w:t>BP Malaysia Mock Training | AGENT-02 | Mock dataset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B3D2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007A5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b/>
      <w:color w:val="0B3D2E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